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page" w:horzAnchor="page" w:tblpXSpec="center" w:tblpY="659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ind w:right="0" w:right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ascii="微软雅黑" w:hAnsi="微软雅黑" w:eastAsia="微软雅黑" w:cs="微软雅黑"/>
                <w:color w:val="FFFFFF"/>
                <w:sz w:val="44"/>
              </w:rPr>
              <w:t>姓名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9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eastAsia="微软雅黑" w:cs="微软雅黑"/>
          <w:vertAlign w:val="baseline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-17145</wp:posOffset>
            </wp:positionH>
            <wp:positionV relativeFrom="page">
              <wp:posOffset>-8255</wp:posOffset>
            </wp:positionV>
            <wp:extent cx="7573645" cy="1854200"/>
            <wp:effectExtent l="0" t="0" r="20955" b="0"/>
            <wp:wrapNone/>
            <wp:docPr id="2" name="图片 2" descr="s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@2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1649730</wp:posOffset>
            </wp:positionV>
            <wp:extent cx="866775" cy="1143000"/>
            <wp:effectExtent l="0" t="0" r="0" b="0"/>
            <wp:wrapNone/>
            <wp:docPr id="1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icon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525" cy="1143076"/>
                    </a:xfrm>
                    <a:prstGeom prst="rect">
                      <a:avLst/>
                    </a:prstGeom>
                    <a:ln w="12700">
                      <a:solidFill>
                        <a:srgbClr val="758AAF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2386965</wp:posOffset>
            </wp:positionV>
            <wp:extent cx="6767830" cy="439420"/>
            <wp:effectExtent l="0" t="0" r="0" b="0"/>
            <wp:wrapNone/>
            <wp:docPr id="3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0" descr="icon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7999" cy="4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8263" w:type="dxa"/>
        <w:tblInd w:w="24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7"/>
        <w:gridCol w:w="3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4377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textAlignment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0"/>
              </w:rPr>
              <w:t>性别：</w:t>
            </w: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性别</w:t>
            </w:r>
          </w:p>
        </w:tc>
        <w:tc>
          <w:tcPr>
            <w:tcW w:w="3886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textAlignment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0"/>
              </w:rPr>
              <w:t>年龄：</w:t>
            </w: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4377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textAlignment w:val="center"/>
              <w:rPr>
                <w:rFonts w:hint="default" w:ascii="微软雅黑" w:hAnsi="微软雅黑" w:eastAsia="微软雅黑" w:cs="微软雅黑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0"/>
              </w:rPr>
              <w:t>电话：</w:t>
            </w: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电话号码</w:t>
            </w:r>
          </w:p>
        </w:tc>
        <w:tc>
          <w:tcPr>
            <w:tcW w:w="3886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textAlignment w:val="center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0"/>
              </w:rPr>
              <w:t>邮箱：</w:t>
            </w: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邮箱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11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sz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drawing>
                <wp:inline distT="0" distB="0" distL="0" distR="0">
                  <wp:extent cx="276225" cy="276225"/>
                  <wp:effectExtent l="0" t="0" r="9525" b="9525"/>
                  <wp:docPr id="4" name="Drawing 0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awing 0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758AAF"/>
                <w:sz w:val="26"/>
              </w:rPr>
              <w:t>求职意向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tbl>
      <w:tblPr>
        <w:tblStyle w:val="3"/>
        <w:tblW w:w="0" w:type="auto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505"/>
        <w:gridCol w:w="3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3505" w:type="dxa"/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意向岗位：求职岗位</w:t>
            </w:r>
          </w:p>
        </w:tc>
        <w:tc>
          <w:tcPr>
            <w:tcW w:w="3507" w:type="dxa"/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意向城市：求职城市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3505" w:type="dxa"/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期望薪资：期望薪水</w:t>
            </w:r>
          </w:p>
        </w:tc>
        <w:tc>
          <w:tcPr>
            <w:tcW w:w="3507" w:type="dxa"/>
            <w:vAlign w:val="top"/>
          </w:tcPr>
          <w:p>
            <w:pPr>
              <w:spacing w:before="0" w:after="0" w:line="380" w:lineRule="exact"/>
              <w:textAlignment w:val="center"/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color w:val="525252"/>
                <w:sz w:val="20"/>
              </w:rPr>
              <w:t>求职类型：求职类型</w:t>
            </w:r>
          </w:p>
        </w:tc>
      </w:tr>
    </w:tbl>
    <w:p>
      <w:pPr>
        <w:spacing w:before="0" w:after="0" w:line="140" w:lineRule="exact"/>
        <w:jc w:val="left"/>
      </w:pPr>
    </w:p>
    <w:p>
      <w:pPr>
        <w:spacing w:before="0" w:after="0" w:line="14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6819900" cy="635"/>
                <wp:effectExtent l="0" t="0" r="0" b="0"/>
                <wp:wrapTopAndBottom/>
                <wp:docPr id="1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2905" y="544195"/>
                          <a:ext cx="6819900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58A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1.15pt;margin-top:0pt;height:0.05pt;width:537pt;mso-wrap-distance-bottom:0pt;mso-wrap-distance-top:0pt;z-index:251658240;mso-width-relative:page;mso-height-relative:page;" filled="f" stroked="t" coordsize="21600,21600" o:gfxdata="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1oHf20AAAAAQBAAAPAAAA&#10;AAAAAAEAIAAAACIAAABkcnMvZG93bnJldi54bWxQSwECFAAUAAAACACHTuJA94aAyuQBAAB7AwAA&#10;DgAAAAAAAAABACAAAAAfAQAAZHJzL2Uyb0RvYy54bWxQSwUGAAAAAAYABgBZAQAAdQUAAAAA&#10;">
                <v:fill on="f" focussize="0,0"/>
                <v:stroke weight="1pt" color="#758AAF [3204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drawing>
                <wp:inline distT="0" distB="0" distL="0" distR="0">
                  <wp:extent cx="276225" cy="276225"/>
                  <wp:effectExtent l="0" t="0" r="9525" b="9525"/>
                  <wp:docPr id="5" name="Drawing 1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wing 1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758AAF"/>
                <w:sz w:val="26"/>
              </w:rPr>
              <w:t>工作经历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上海兴乐实华集团美罗国际旅行社分公司</w:t>
      </w:r>
    </w:p>
    <w:p>
      <w:pPr>
        <w:spacing w:before="0" w:after="0" w:line="160" w:lineRule="exact"/>
        <w:jc w:val="left"/>
      </w:pPr>
    </w:p>
    <w:p>
      <w:pPr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财务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1.全面负责集团区域内公司各分子公司的财务管理工作；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2.细化和完善集团区域下属各分、子公司财务管理制度并对分、子公司进行财务审计和检查；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3.协助编制集团区域各分子公司的年度预算，并对预算执行情况进行监控；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4.主持各分子公司按时提报财务报表，审核后汇总合并上报集团区域合并财务报表；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5.向直接上级汇总经营计划的执行情况，定期出具经营与财务分析报告；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6.对集团区域公司重大的投资、融资、并购等经营活动提供建议和决策支持，参与风险评估、指导、跟踪和控制，参与集团公司重大经济合同评审；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7.对集团区域各公司税收进行整体筹划与管理，指导各公司按时完成税务申报以及年度审计工作；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8.与财政、税务、银行等相关部门、机构建立并保持良好的关系；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9.监控集团区域各公司财务支出，审核各项收入、成本和费用；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10.调查、控制、审核各类物资采购价格并及时提出工作建议；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11.负责集团区域各分子公司资产核算，.组织各公司对存货、固定资产、低值易耗品等实物资产的核算和价值管理；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12.协助人资开展集团区域内各公司相关人员财物知识的培训工作。</w:t>
      </w:r>
    </w:p>
    <w:p>
      <w:pPr>
        <w:spacing w:before="0" w:after="0" w:line="140" w:lineRule="exact"/>
        <w:jc w:val="left"/>
      </w:pPr>
    </w:p>
    <w:p>
      <w:pPr>
        <w:spacing w:before="0" w:after="0" w:line="14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6819900" cy="635"/>
                <wp:effectExtent l="0" t="0" r="0" b="0"/>
                <wp:wrapTopAndBottom/>
                <wp:docPr id="1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2905" y="544195"/>
                          <a:ext cx="6819900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58A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1.15pt;margin-top:0pt;height:0.05pt;width:537pt;mso-wrap-distance-bottom:0pt;mso-wrap-distance-top:0pt;z-index:251658240;mso-width-relative:page;mso-height-relative:page;" filled="f" stroked="t" coordsize="21600,21600" o:gfxdata="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Wgd/bQAAAABAEAAA8A&#10;AAAAAAAAAQAgAAAAIgAAAGRycy9kb3ducmV2LnhtbFBLAQIUABQAAAAIAIdO4kC0MXnq5gEAAHsD&#10;AAAOAAAAAAAAAAEAIAAAAB8BAABkcnMvZTJvRG9jLnhtbFBLBQYAAAAABgAGAFkBAAB3BQAAAAA=&#10;">
                <v:fill on="f" focussize="0,0"/>
                <v:stroke weight="1pt" color="#758AAF [3204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drawing>
                <wp:inline distT="0" distB="0" distL="0" distR="0">
                  <wp:extent cx="276225" cy="276225"/>
                  <wp:effectExtent l="0" t="0" r="9525" b="9525"/>
                  <wp:docPr id="6" name="Drawing 2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ing 2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758AAF"/>
                <w:sz w:val="26"/>
              </w:rPr>
              <w:t>项目经历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  <w:r>
        <w:rPr>
          <w:rFonts w:ascii="微软雅黑" w:hAnsi="微软雅黑" w:eastAsia="微软雅黑" w:cs="微软雅黑"/>
          <w:b/>
          <w:sz w:val="24"/>
        </w:rPr>
        <w:t>“中国地区部运营商BG管理AR综合平台”的建设</w:t>
      </w:r>
    </w:p>
    <w:p>
      <w:pPr>
        <w:spacing w:before="0" w:after="0" w:line="160" w:lineRule="exact"/>
        <w:jc w:val="left"/>
      </w:pPr>
    </w:p>
    <w:p>
      <w:pPr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财务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财务类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1.突破传统的回款管理模式，打造全新的智能化业务辅账和信息交互方式，加强财经、账务之间的信息合作和共享，在提升工作效率和数据准确性的同时，实现AR全流程的可视化管理。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2.建立风险AR管理长效机制，将业务风险审视与BS分析、财报内控测评合三为一；风险审视任务令落实到人，建立“账务-财经-业务”管控纽带，形成管控合力，加速闭环风险AR。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3.打破传统的AR到款核销模式，构建智能对款系统，对接E2E自动核销平台，提升账务核销质量和核算效率。</w:t>
      </w:r>
    </w:p>
    <w:p>
      <w:pPr>
        <w:spacing w:before="0" w:after="0" w:line="140" w:lineRule="exact"/>
        <w:jc w:val="left"/>
      </w:pPr>
    </w:p>
    <w:p>
      <w:pPr>
        <w:spacing w:before="0" w:after="0" w:line="140" w:lineRule="exac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6819900" cy="635"/>
                <wp:effectExtent l="0" t="0" r="0" b="0"/>
                <wp:wrapTopAndBottom/>
                <wp:docPr id="14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82905" y="544195"/>
                          <a:ext cx="6819900" cy="6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58A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1.15pt;margin-top:0pt;height:0.05pt;width:537pt;mso-wrap-distance-bottom:0pt;mso-wrap-distance-top:0pt;z-index:251658240;mso-width-relative:page;mso-height-relative:page;" filled="f" stroked="t" coordsize="21600,21600" o:gfxdata="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Wgd/bQAAAABAEAAA8A&#10;AAAAAAAAAQAgAAAAIgAAAGRycy9kb3ducmV2LnhtbFBLAQIUABQAAAAIAIdO4kB9NZUI5gEAAHsD&#10;AAAOAAAAAAAAAAEAIAAAAB8BAABkcnMvZTJvRG9jLnhtbFBLBQYAAAAABgAGAFkBAAB3BQAAAAA=&#10;">
                <v:fill on="f" focussize="0,0"/>
                <v:stroke weight="1pt" color="#758AAF [3204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drawing>
                <wp:inline distT="0" distB="0" distL="0" distR="0">
                  <wp:extent cx="276225" cy="276225"/>
                  <wp:effectExtent l="0" t="0" r="9525" b="9525"/>
                  <wp:docPr id="7" name="Drawing 3" descr="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rawing 3" descr="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" cy="2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0" w:type="dxa"/>
            <w:vAlign w:val="center"/>
          </w:tcPr>
          <w:p>
            <w:pPr>
              <w:spacing w:before="0" w:after="0" w:line="440" w:lineRule="exact"/>
              <w:textAlignment w:val="center"/>
            </w:pPr>
            <w:r>
              <w:rPr>
                <w:rFonts w:ascii="微软雅黑" w:hAnsi="微软雅黑" w:eastAsia="微软雅黑" w:cs="微软雅黑"/>
                <w:color w:val="758AAF"/>
                <w:sz w:val="26"/>
              </w:rPr>
              <w:t>自我评价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sz w:val="21"/>
          <w:lang w:val="en-US"/>
        </w:rPr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能够独立完成公司全盘账的账务处理工作，编制各类报表；熟悉各项税务事项的处理，能对公司避税进行规划及筹划；熟悉成本核算,成本分析,成本控制,对降低成本费用有较高的认识及实践经验擅长数据处理；懂筹资、财务总预算编制、财务成本控制方法、利润中心核算与控制、财务报表综合分析； 熟悉企业财务制度及流程，对企业内控有比较深刻的了解与认识； 熟练使用ERP、Oracle、金蝶、用友等财务管理软件；求知欲强，领悟力和接受能力强，反应较快，善于与人沟通，有团队意识，以助人为乐，且较强的工作责任心和敬业精神； 有初级会计证及会计从业资格证书。</w:t>
      </w:r>
    </w:p>
    <w:sectPr>
      <w:pgSz w:w="11906" w:h="16838"/>
      <w:pgMar w:top="624" w:right="624" w:bottom="624" w:left="62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9A04E2"/>
    <w:rsid w:val="00182CCB"/>
    <w:rsid w:val="002C2422"/>
    <w:rsid w:val="00B4535D"/>
    <w:rsid w:val="00D37403"/>
    <w:rsid w:val="016A68E3"/>
    <w:rsid w:val="03607E38"/>
    <w:rsid w:val="042B4089"/>
    <w:rsid w:val="04685352"/>
    <w:rsid w:val="052154BF"/>
    <w:rsid w:val="0797465F"/>
    <w:rsid w:val="0BA31411"/>
    <w:rsid w:val="0C081AC9"/>
    <w:rsid w:val="0CBB7955"/>
    <w:rsid w:val="0D357C7D"/>
    <w:rsid w:val="0DAE412D"/>
    <w:rsid w:val="15467984"/>
    <w:rsid w:val="15C84158"/>
    <w:rsid w:val="15F39A35"/>
    <w:rsid w:val="16D05A55"/>
    <w:rsid w:val="19E03AC5"/>
    <w:rsid w:val="1B0C1510"/>
    <w:rsid w:val="1F57262B"/>
    <w:rsid w:val="22815CA2"/>
    <w:rsid w:val="22FC4CFC"/>
    <w:rsid w:val="23215437"/>
    <w:rsid w:val="23CA76F3"/>
    <w:rsid w:val="241C15E2"/>
    <w:rsid w:val="275166C1"/>
    <w:rsid w:val="27822722"/>
    <w:rsid w:val="2A7077D6"/>
    <w:rsid w:val="2B1C788B"/>
    <w:rsid w:val="2B3F64B8"/>
    <w:rsid w:val="2EA64CB2"/>
    <w:rsid w:val="31591666"/>
    <w:rsid w:val="31823F49"/>
    <w:rsid w:val="31ED74CF"/>
    <w:rsid w:val="31EE417F"/>
    <w:rsid w:val="33EF06B8"/>
    <w:rsid w:val="342225B2"/>
    <w:rsid w:val="353B7C62"/>
    <w:rsid w:val="374F1E16"/>
    <w:rsid w:val="39835159"/>
    <w:rsid w:val="3AC1610B"/>
    <w:rsid w:val="3B044964"/>
    <w:rsid w:val="3FFB3FA0"/>
    <w:rsid w:val="4246332F"/>
    <w:rsid w:val="431E2E17"/>
    <w:rsid w:val="451A7FD0"/>
    <w:rsid w:val="46A050D8"/>
    <w:rsid w:val="49374CC0"/>
    <w:rsid w:val="495E1D87"/>
    <w:rsid w:val="49AE14AE"/>
    <w:rsid w:val="4A08645B"/>
    <w:rsid w:val="4B8A1AED"/>
    <w:rsid w:val="4B91589F"/>
    <w:rsid w:val="4ED07875"/>
    <w:rsid w:val="4F61452A"/>
    <w:rsid w:val="4FB5380E"/>
    <w:rsid w:val="504A5D2A"/>
    <w:rsid w:val="51B31B52"/>
    <w:rsid w:val="548F12B2"/>
    <w:rsid w:val="55AA0177"/>
    <w:rsid w:val="57113E2D"/>
    <w:rsid w:val="57352888"/>
    <w:rsid w:val="59D53AA9"/>
    <w:rsid w:val="5D556F57"/>
    <w:rsid w:val="5DA860E1"/>
    <w:rsid w:val="5DF73BE1"/>
    <w:rsid w:val="5E333D80"/>
    <w:rsid w:val="5EB70192"/>
    <w:rsid w:val="5EEE03FF"/>
    <w:rsid w:val="5FBFEFD0"/>
    <w:rsid w:val="5FE4A2A6"/>
    <w:rsid w:val="61651959"/>
    <w:rsid w:val="61FE72A8"/>
    <w:rsid w:val="637D3654"/>
    <w:rsid w:val="64123329"/>
    <w:rsid w:val="64910643"/>
    <w:rsid w:val="64E77B0C"/>
    <w:rsid w:val="65A14CEC"/>
    <w:rsid w:val="66A56CF7"/>
    <w:rsid w:val="68FB7BB3"/>
    <w:rsid w:val="6A32706A"/>
    <w:rsid w:val="6B4E30DA"/>
    <w:rsid w:val="6B7EE1F4"/>
    <w:rsid w:val="6D1E15E7"/>
    <w:rsid w:val="6D4F004B"/>
    <w:rsid w:val="6DFF2449"/>
    <w:rsid w:val="6EDFB872"/>
    <w:rsid w:val="6EFEA83C"/>
    <w:rsid w:val="6F116A96"/>
    <w:rsid w:val="6F8E3AA9"/>
    <w:rsid w:val="6FCDC6EE"/>
    <w:rsid w:val="6FEB4E9E"/>
    <w:rsid w:val="6FF2ED5F"/>
    <w:rsid w:val="6FFFB319"/>
    <w:rsid w:val="72EB7672"/>
    <w:rsid w:val="734F271E"/>
    <w:rsid w:val="755125DA"/>
    <w:rsid w:val="759A04E2"/>
    <w:rsid w:val="777344AD"/>
    <w:rsid w:val="77850A78"/>
    <w:rsid w:val="77FFFC27"/>
    <w:rsid w:val="7BCDBF80"/>
    <w:rsid w:val="7D2A7303"/>
    <w:rsid w:val="7D767E94"/>
    <w:rsid w:val="7E2A08A8"/>
    <w:rsid w:val="7E97478C"/>
    <w:rsid w:val="7EEFBB75"/>
    <w:rsid w:val="7F5FCD74"/>
    <w:rsid w:val="7F911BAB"/>
    <w:rsid w:val="7FEF332D"/>
    <w:rsid w:val="87F67824"/>
    <w:rsid w:val="9EBEA9C8"/>
    <w:rsid w:val="B2EBA61C"/>
    <w:rsid w:val="BF8E0CF9"/>
    <w:rsid w:val="D6D9B491"/>
    <w:rsid w:val="DCFE59D9"/>
    <w:rsid w:val="DDF73196"/>
    <w:rsid w:val="DEDFC599"/>
    <w:rsid w:val="DFA3E5AD"/>
    <w:rsid w:val="E6C89466"/>
    <w:rsid w:val="EBFF2F6A"/>
    <w:rsid w:val="EDFF3CC9"/>
    <w:rsid w:val="F6F346D7"/>
    <w:rsid w:val="F6FBBE07"/>
    <w:rsid w:val="F7BC48BF"/>
    <w:rsid w:val="F7F48C21"/>
    <w:rsid w:val="F99FE7A3"/>
    <w:rsid w:val="FABF3266"/>
    <w:rsid w:val="FCA56A0E"/>
    <w:rsid w:val="FCBB9CDD"/>
    <w:rsid w:val="FD73E5EB"/>
    <w:rsid w:val="FDFB8E9D"/>
    <w:rsid w:val="FEA745DD"/>
    <w:rsid w:val="FEAFFA6C"/>
    <w:rsid w:val="FEDB9ADA"/>
    <w:rsid w:val="FEDF3508"/>
    <w:rsid w:val="FF573852"/>
    <w:rsid w:val="FF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d6ef9e1-7953-48f0-bccb-d7763141a3e7\&#25105;&#30340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我的简历.docx</Template>
  <Pages>2</Pages>
  <Words>1042</Words>
  <Characters>1076</Characters>
  <Lines>1</Lines>
  <Paragraphs>1</Paragraphs>
  <TotalTime>22</TotalTime>
  <ScaleCrop>false</ScaleCrop>
  <LinksUpToDate>false</LinksUpToDate>
  <CharactersWithSpaces>1081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2020-08-10T13:09:00Z</dcterms:created>
  <dc:creator>双子晨</dc:creator>
  <cp:lastModifiedBy>双子晨</cp:lastModifiedBy>
  <dcterms:modified xsi:type="dcterms:W3CDTF">2020-08-10T13:10:16Z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